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910" w14:textId="77777777" w:rsidR="00A659BA" w:rsidRPr="001F3CB7" w:rsidRDefault="008C76C6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 w14:anchorId="4366E1F3"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14:paraId="18FA461E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14:paraId="54609D00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14:paraId="1973FA5F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14:paraId="1158BB2C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14:paraId="1411445B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14:paraId="75780177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RS"/>
                      </w:rPr>
                      <w:t xml:space="preserve">tos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bank, а.д. Бања Лука)</w:t>
                    </w:r>
                  </w:p>
                  <w:p w14:paraId="17DD2B18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14:paraId="1ACAEABF" w14:textId="77777777" w:rsidR="001023AF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14:paraId="759C6F9C" w14:textId="77777777" w:rsidR="001023AF" w:rsidRPr="00BF4BE4" w:rsidRDefault="001023A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14:paraId="0D72A5CB" w14:textId="77777777" w:rsidR="001023AF" w:rsidRDefault="001023AF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23027084" r:id="rId10"/>
        </w:pict>
      </w:r>
    </w:p>
    <w:p w14:paraId="1DC15EED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1E6361D9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5AD8634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D025C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E9841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20A73EE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60E5E08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03A3A50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BEDFF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62ECC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E15CF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78DE7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B9961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7FC7F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14:paraId="580E814E" w14:textId="77777777" w:rsidR="00A6236B" w:rsidRPr="00C04AC0" w:rsidRDefault="007F1DF5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ЗАМЈЕНСКИХ ТОНЕРА</w:t>
      </w:r>
    </w:p>
    <w:p w14:paraId="3F838020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14:paraId="32D72FF5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14:paraId="045785CD" w14:textId="77777777" w:rsidR="00942D4F" w:rsidRPr="001F3CB7" w:rsidRDefault="00942D4F" w:rsidP="00DA19D4">
      <w:pPr>
        <w:spacing w:before="0"/>
        <w:jc w:val="center"/>
        <w:rPr>
          <w:sz w:val="24"/>
          <w:szCs w:val="24"/>
          <w:lang w:val="bs-Latn-BA"/>
        </w:rPr>
      </w:pPr>
    </w:p>
    <w:p w14:paraId="2CB4BB00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2C76CB50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4628D82" w14:textId="77777777"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3DB9F13" w14:textId="26BB0604" w:rsidR="00A659BA" w:rsidRPr="00DA19D4" w:rsidRDefault="001023AF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23AF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Pr="001023AF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14:paraId="0B72767F" w14:textId="77777777"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14:paraId="41388A67" w14:textId="77777777"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14:paraId="312267F6" w14:textId="77777777"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14:paraId="0FFB1A58" w14:textId="77777777"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14:paraId="2F2E4A82" w14:textId="77777777"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14:paraId="1DED1AF8" w14:textId="5A43D86C" w:rsidR="004901C6" w:rsidRPr="004901C6" w:rsidRDefault="005B41B4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26</w:t>
      </w:r>
      <w:r w:rsidR="007F1D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04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август</w:t>
      </w:r>
      <w:r w:rsidR="003C38B9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a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14:paraId="2C306959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58463939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190E1AE6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4D2A9F34" w14:textId="77777777"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772A69D3" w14:textId="77777777"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312ABEFC" w14:textId="68BBEF57"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14:paraId="4FEDA2C9" w14:textId="0CD9CC1A"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3C38B9">
        <w:rPr>
          <w:rFonts w:ascii="Times New Roman" w:eastAsia="Calibri" w:hAnsi="Times New Roman" w:cs="Times New Roman"/>
          <w:noProof/>
          <w:lang w:val="sr-Cyrl-CS"/>
        </w:rPr>
        <w:t xml:space="preserve">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14:paraId="6A8ADFAB" w14:textId="1A77BFB7"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    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14:paraId="6CB39D7A" w14:textId="77777777"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42E9" w14:textId="77777777"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14:paraId="4C68E1A0" w14:textId="77777777" w:rsidR="00C04F79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1239175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_Toc112391756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EA4A471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5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_Toc112391757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D4583C7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5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_Toc112391758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EDD4562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5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_Toc112391759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9BB7D24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8BCC54A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CE9816B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2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516E865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3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_Toc112391763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ADE5490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4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_Toc112391764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E5F0B66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5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_Toc112391765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F454842" w14:textId="77777777" w:rsidR="00C04F79" w:rsidRDefault="008C76C6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FF1DDBA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CD3E290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7A79EC8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6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_Toc112391769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7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4832ADC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7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0710095A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8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0D43637E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2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9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D4C892D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3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_Toc112391773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9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C376A3A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774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_Toc112391774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10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64F2F5AE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5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_Toc112391775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10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7C80068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10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EC47AB6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2A4654B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7CECB88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7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_Toc112391779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12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362FFB8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12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7F8EB1E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12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0360BD5C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2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14D35A2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3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_Toc112391783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A0F5F11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4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_Toc112391784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ABEF980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5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C04F79" w:rsidRPr="00CC408A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_Toc112391785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B7673BF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78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A4354D5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41A3F2E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DF68C59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8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_Toc112391789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672F47F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31A6E86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80EE1F9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2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15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DFFD863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3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_Toc112391793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B1D1A04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4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C04F79" w:rsidRPr="00CC408A">
              <w:rPr>
                <w:rStyle w:val="Hyperlink"/>
                <w:noProof/>
                <w:lang w:val="de-DE"/>
              </w:rPr>
              <w:t xml:space="preserve"> </w:t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_Toc112391794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367BF34E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5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_Toc112391795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C31C7BC" w14:textId="77777777" w:rsidR="00C04F79" w:rsidRDefault="008C76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CC84D51" w14:textId="77777777" w:rsidR="00C04F79" w:rsidRDefault="008C76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39179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C04F79">
              <w:rPr>
                <w:rFonts w:eastAsiaTheme="minorEastAsia"/>
                <w:noProof/>
              </w:rPr>
              <w:tab/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17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B4AE3FC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79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18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318FFEF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79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_Toc112391799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19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11F2EF2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19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458B973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0ACF722F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2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35C1CDC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3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_Toc112391803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0FCC0F13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4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_Toc112391804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1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26AF5A4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5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_Toc112391805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C5E4EB8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6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47. став (1) тачке а) до д) и став (4) Закона о јавним набавкама („Службени гласник БиХ“, број: 39/14)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_Toc112391806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3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48FEE73F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7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_Toc112391807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5FA4635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8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_Toc112391808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4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D6455CB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09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_Toc112391809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2D3C0DDC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10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_Toc112391810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6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73EC84D7" w14:textId="77777777" w:rsidR="00C04F79" w:rsidRDefault="008C76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11" w:history="1"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_Toc112391811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7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53B116BA" w14:textId="77777777" w:rsidR="00C04F79" w:rsidRDefault="008C76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391812" w:history="1">
            <w:r w:rsidR="00C04F79" w:rsidRPr="00CC408A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C04F79" w:rsidRPr="00CC408A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C04F79">
              <w:rPr>
                <w:noProof/>
                <w:webHidden/>
              </w:rPr>
              <w:tab/>
            </w:r>
            <w:r w:rsidR="00C04F79">
              <w:rPr>
                <w:noProof/>
                <w:webHidden/>
              </w:rPr>
              <w:fldChar w:fldCharType="begin"/>
            </w:r>
            <w:r w:rsidR="00C04F79">
              <w:rPr>
                <w:noProof/>
                <w:webHidden/>
              </w:rPr>
              <w:instrText xml:space="preserve"> PAGEREF _Toc112391812 \h </w:instrText>
            </w:r>
            <w:r w:rsidR="00C04F79">
              <w:rPr>
                <w:noProof/>
                <w:webHidden/>
              </w:rPr>
            </w:r>
            <w:r w:rsidR="00C04F79">
              <w:rPr>
                <w:noProof/>
                <w:webHidden/>
              </w:rPr>
              <w:fldChar w:fldCharType="separate"/>
            </w:r>
            <w:r w:rsidR="00C04F79">
              <w:rPr>
                <w:noProof/>
                <w:webHidden/>
              </w:rPr>
              <w:t>7</w:t>
            </w:r>
            <w:r w:rsidR="00C04F79">
              <w:rPr>
                <w:noProof/>
                <w:webHidden/>
              </w:rPr>
              <w:fldChar w:fldCharType="end"/>
            </w:r>
          </w:hyperlink>
        </w:p>
        <w:p w14:paraId="11446C3A" w14:textId="77777777"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8F899E2" w14:textId="77777777"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4434180B" w14:textId="77777777"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112391756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14:paraId="1D8B2687" w14:textId="77777777"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112391757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14:paraId="7E51DC49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257CD528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410A2417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14:paraId="3D1767EA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45FA4284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14:paraId="2CD698DF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14:paraId="3FB37176" w14:textId="77777777"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14:paraId="62149C86" w14:textId="77777777"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14:paraId="4BC5A6A8" w14:textId="77777777"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14:paraId="78975D09" w14:textId="77777777"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14:paraId="61D91296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14:paraId="5FAAE91F" w14:textId="77777777"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14:paraId="3ABE21EE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14:paraId="2B286EDF" w14:textId="77777777"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14:paraId="49321875" w14:textId="77777777" w:rsidR="00A6236B" w:rsidRPr="001F3CB7" w:rsidRDefault="00A6236B" w:rsidP="00A44907">
      <w:pPr>
        <w:rPr>
          <w:sz w:val="24"/>
          <w:szCs w:val="24"/>
          <w:lang w:val="sr-Cyrl-RS"/>
        </w:rPr>
      </w:pPr>
    </w:p>
    <w:p w14:paraId="21E12A3B" w14:textId="77777777"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112391758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14:paraId="561DD839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1239175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14:paraId="51FCE4CA" w14:textId="77777777"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14:paraId="6DE1EA4E" w14:textId="0A8CDAE3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0C70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E692C6" w14:textId="77777777"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112391760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14:paraId="3E9960B7" w14:textId="77777777" w:rsidR="00E83AF9" w:rsidRPr="001F3CB7" w:rsidRDefault="00E83AF9" w:rsidP="00E83AF9">
      <w:pPr>
        <w:rPr>
          <w:sz w:val="24"/>
          <w:szCs w:val="24"/>
          <w:lang w:val="sr-Cyrl-RS"/>
        </w:rPr>
      </w:pPr>
    </w:p>
    <w:p w14:paraId="1D201B75" w14:textId="4AAE8861"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 xml:space="preserve"> тонер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A1C36" w14:textId="77777777" w:rsidR="00C04AC0" w:rsidRPr="001F3CB7" w:rsidRDefault="00C04AC0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A9331D" w14:textId="29422856" w:rsidR="0081382C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>замјенски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 xml:space="preserve"> тонера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Спецификација обухвата опис штампача и копир апарата за које се набављају замјенски</w:t>
      </w:r>
      <w:r w:rsidR="003C38B9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тонери, по јединици мјере и траженим количинама, с т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им да се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копир апарат „</w:t>
      </w:r>
      <w:r w:rsidR="00C04AC0">
        <w:rPr>
          <w:rFonts w:ascii="Times New Roman" w:eastAsia="Times New Roman" w:hAnsi="Times New Roman"/>
          <w:sz w:val="24"/>
          <w:szCs w:val="24"/>
          <w:lang w:val="sr-Latn-RS"/>
        </w:rPr>
        <w:t xml:space="preserve">Canon ir8105 C-EXV35“ 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тражи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ор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гинални тонер због квал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итета штампе ра</w:t>
      </w:r>
      <w:r w:rsidR="005B41B4">
        <w:rPr>
          <w:rFonts w:ascii="Times New Roman" w:eastAsia="Times New Roman" w:hAnsi="Times New Roman"/>
          <w:sz w:val="24"/>
          <w:szCs w:val="24"/>
          <w:lang w:val="sr-Cyrl-RS"/>
        </w:rPr>
        <w:t xml:space="preserve">чуна за </w:t>
      </w:r>
      <w:r w:rsidR="005246FD">
        <w:rPr>
          <w:rFonts w:ascii="Times New Roman" w:eastAsia="Times New Roman" w:hAnsi="Times New Roman"/>
          <w:sz w:val="24"/>
          <w:szCs w:val="24"/>
          <w:lang w:val="sr-Cyrl-RS"/>
        </w:rPr>
        <w:t>утрошену воду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се достављају крајњим корисницима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и штете на копир апарату која настаје употребом замјенског тонера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51A9DCE" w14:textId="77777777" w:rsid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9249924" w14:textId="54FC5E4F" w:rsidR="0081382C" w:rsidRPr="0081382C" w:rsidRDefault="0081382C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Уколико понуђач понуди робу која на</w:t>
      </w:r>
      <w:r w:rsidR="000C7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суштински еквивалентан начин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  задовољава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захтјев постављен у техничкој спецификацији тендерске документације, уговорни орган ће поступити у складу са одредбама члана 54. Закона о јавним набавкама БиХ. За набавке које су дефинисане типски, стандардизоване или упућују на одређену робну марку или стандард уговорни орган ће прихватити еквивалент предметне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13C17C" w14:textId="211262B2" w:rsidR="00C04AC0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закључењ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14:paraId="2CF28FDC" w14:textId="77777777" w:rsidR="0081382C" w:rsidRP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085AE48" w14:textId="77777777" w:rsidR="00612421" w:rsidRPr="00B769F2" w:rsidRDefault="00612421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1382C">
        <w:rPr>
          <w:rFonts w:ascii="Times New Roman" w:eastAsia="Times New Roman" w:hAnsi="Times New Roman"/>
          <w:sz w:val="24"/>
          <w:szCs w:val="24"/>
          <w:lang w:val="sr-Cyrl-CS"/>
        </w:rPr>
        <w:t>30125110-5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1382C" w:rsidRPr="00D06EFD">
        <w:rPr>
          <w:rFonts w:ascii="Times New Roman" w:eastAsia="Times New Roman" w:hAnsi="Times New Roman"/>
          <w:sz w:val="24"/>
          <w:szCs w:val="24"/>
          <w:lang w:val="sr-Cyrl-CS"/>
        </w:rPr>
        <w:t>Тонери за ласерске штампаче/факсимил уређаје</w:t>
      </w:r>
    </w:p>
    <w:p w14:paraId="537BE54F" w14:textId="77777777"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318E9EE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14:paraId="7DD32E51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14:paraId="47040F8F" w14:textId="7777777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4D7FB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E8A15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14:paraId="1510C27D" w14:textId="7777777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2E" w14:textId="1F2657C0" w:rsidR="00251CC3" w:rsidRPr="001F3CB7" w:rsidRDefault="00251CC3" w:rsidP="008138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замјенски</w:t>
            </w:r>
            <w:r w:rsidR="005B4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тонера</w:t>
            </w:r>
            <w:r w:rsidR="00B769F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3A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14:paraId="3F01EF79" w14:textId="77777777"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CD944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14:paraId="4737EFBA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7F48D3C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14:paraId="0BDB0866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14:paraId="6CDDDD1C" w14:textId="77777777"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14:paraId="167873E2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14:paraId="2602708E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14:paraId="46A4CE0E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</w:t>
      </w:r>
      <w:r w:rsidRPr="001F3CB7">
        <w:rPr>
          <w:rFonts w:ascii="Times New Roman" w:hAnsi="Times New Roman"/>
          <w:sz w:val="24"/>
          <w:szCs w:val="24"/>
        </w:rPr>
        <w:lastRenderedPageBreak/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14:paraId="3B81BA17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14:paraId="7ACCD75F" w14:textId="076DDD41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77264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</w:t>
      </w:r>
      <w:r w:rsidR="00772643" w:rsidRPr="005246FD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5246FD">
        <w:rPr>
          <w:rFonts w:ascii="Times New Roman" w:hAnsi="Times New Roman"/>
          <w:sz w:val="24"/>
          <w:szCs w:val="24"/>
          <w:lang w:val="sr-Cyrl-RS"/>
        </w:rPr>
        <w:t>5</w:t>
      </w:r>
      <w:r w:rsidR="00F12E80" w:rsidRPr="00524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46FD">
        <w:rPr>
          <w:rFonts w:ascii="Times New Roman" w:hAnsi="Times New Roman"/>
          <w:sz w:val="24"/>
          <w:szCs w:val="24"/>
          <w:lang w:val="sr-Cyrl-RS"/>
        </w:rPr>
        <w:t>(</w:t>
      </w:r>
      <w:r w:rsidR="005246FD">
        <w:rPr>
          <w:rFonts w:ascii="Times New Roman" w:hAnsi="Times New Roman"/>
          <w:sz w:val="24"/>
          <w:szCs w:val="24"/>
          <w:lang w:val="sr-Cyrl-RS"/>
        </w:rPr>
        <w:t>пет</w:t>
      </w:r>
      <w:r w:rsidRPr="005246FD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/>
          <w:sz w:val="24"/>
          <w:szCs w:val="24"/>
          <w:lang w:val="sr-Cyrl-RS"/>
        </w:rPr>
        <w:t>од дана доставе писмене наруџбе.</w:t>
      </w:r>
    </w:p>
    <w:p w14:paraId="1F6F619B" w14:textId="7B7405B3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 xml:space="preserve">Добављач </w:t>
      </w:r>
      <w:r w:rsidR="0081382C">
        <w:rPr>
          <w:rFonts w:ascii="Times New Roman" w:hAnsi="Times New Roman"/>
          <w:sz w:val="24"/>
          <w:szCs w:val="24"/>
          <w:lang w:val="sr-Cyrl-RS"/>
        </w:rPr>
        <w:t>је одговоран и дужан да уважи све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рекламације  уговорног органа на робу са уоченим недостатком одмах приликом примопредаје,</w:t>
      </w:r>
      <w:r w:rsidR="005B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 xml:space="preserve">г лошег квалитета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набавке, а уколико се утврди да је узрок лош квалитет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14:paraId="0F004829" w14:textId="77777777"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DD0000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8.422,00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55AED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14:paraId="7F20E902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12391761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14:paraId="2C97E47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A07C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12391762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14:paraId="23D0A24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EEAA5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AC75CA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12391763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14:paraId="382F828D" w14:textId="7DDE1AC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оступак</w:t>
      </w:r>
      <w:r w:rsidR="00B2528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B41B4">
        <w:rPr>
          <w:rFonts w:ascii="Times New Roman" w:hAnsi="Times New Roman" w:cs="Times New Roman"/>
          <w:sz w:val="24"/>
          <w:szCs w:val="24"/>
        </w:rPr>
        <w:t>критериј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1B02F98" w14:textId="77777777"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EA1ED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536D46B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12391764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14:paraId="637FE61C" w14:textId="77777777"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A6D3" w14:textId="77777777"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BC0A6" w14:textId="77777777"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14:paraId="498A6B8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5E4C2855" w14:textId="77777777"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bookmarkStart w:id="10" w:name="_Toc112391765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14:paraId="2AB41C3F" w14:textId="77777777"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C6EC8" w14:textId="77777777"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22DCF4" w14:textId="77777777"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14:paraId="68833E80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01A7B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08CE56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84AC31D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72C300A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53BB6D1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EE138D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14E131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3FB07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61FE9A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B714279" w14:textId="32BACD98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3557A0">
        <w:rPr>
          <w:rFonts w:ascii="Times New Roman" w:hAnsi="Times New Roman" w:cs="Times New Roman"/>
          <w:sz w:val="24"/>
          <w:szCs w:val="24"/>
        </w:rPr>
        <w:t>З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0FDE58" w14:textId="77777777"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bookmarkStart w:id="11" w:name="_Toc112391766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14:paraId="02D1AD44" w14:textId="01C2BAE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82355B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назначе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0F0AE4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A591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14:paraId="6119D2C0" w14:textId="77777777"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12391767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14:paraId="36B6FD85" w14:textId="77777777"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12391768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3"/>
    </w:p>
    <w:p w14:paraId="2528B52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25B9765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FE197C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248C20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E209EE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347D3114" w14:textId="5BC3A4C1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2528D">
        <w:rPr>
          <w:rFonts w:ascii="Times New Roman" w:hAnsi="Times New Roman" w:cs="Times New Roman"/>
          <w:sz w:val="24"/>
          <w:szCs w:val="24"/>
        </w:rPr>
        <w:t>недоста</w:t>
      </w:r>
      <w:r w:rsidR="00BF4BE4" w:rsidRPr="001F3CB7">
        <w:rPr>
          <w:rFonts w:ascii="Times New Roman" w:hAnsi="Times New Roman" w:cs="Times New Roman"/>
          <w:sz w:val="24"/>
          <w:szCs w:val="24"/>
        </w:rPr>
        <w:t>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1D09D57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30DA9C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C3F81DE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B65EA67" w14:textId="187181EA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FDE5992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01EFBF3" w14:textId="51094B68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FB45ED0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5A61A9E" w14:textId="1D6D2925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4057FD0F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94043D" w14:textId="7126A736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B735F3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BC22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3C6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AEB29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5A0F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14:paraId="21FD35B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019AD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A9E3E9C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112391769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14:paraId="23D4E75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9BB305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D3A8DF6" w14:textId="72E9AA6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2A650916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1A47FE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112391770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bookmarkEnd w:id="15"/>
    </w:p>
    <w:p w14:paraId="68489B2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минималне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тичу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47657F4" w14:textId="77777777" w:rsidR="00A659BA" w:rsidRPr="001A52E9" w:rsidRDefault="002B4151" w:rsidP="001A52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његове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погледу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чињеница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34292B" w:rsidRPr="001F3CB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14:paraId="0B1916F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C91D339" w14:textId="5B23415C" w:rsidR="00A659BA" w:rsidRPr="001A52E9" w:rsidRDefault="00F44CA9" w:rsidP="00F44CA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законским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му</w:t>
      </w:r>
      <w:r w:rsidR="001A52E9">
        <w:rPr>
          <w:rFonts w:ascii="Times New Roman" w:hAnsi="Times New Roman"/>
          <w:sz w:val="24"/>
          <w:szCs w:val="24"/>
          <w:lang w:val="sr-Cyrl-CS"/>
        </w:rPr>
        <w:t xml:space="preserve"> главни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рачун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57A0">
        <w:rPr>
          <w:rFonts w:ascii="Times New Roman" w:hAnsi="Times New Roman"/>
          <w:sz w:val="24"/>
          <w:szCs w:val="24"/>
          <w:lang w:val="sr-Cyrl-CS"/>
        </w:rPr>
        <w:t>посљ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едњих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6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мјесеци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није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био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блокиран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ви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>ш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7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непрекидно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те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52E9">
        <w:rPr>
          <w:rFonts w:ascii="Times New Roman" w:hAnsi="Times New Roman"/>
          <w:sz w:val="24"/>
          <w:szCs w:val="24"/>
          <w:lang w:val="sr-Cyrl-CS"/>
        </w:rPr>
        <w:t>дуже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укупно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6109F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3.3.3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гдје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назначити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обзира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природу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односа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располагању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потребне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ресурсе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ослонити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62C86E3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="00EB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15:00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3E3A4A1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- 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D394113" w14:textId="77777777"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о</w:t>
      </w:r>
      <w:r w:rsidR="001A52E9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пштина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7882653E" w14:textId="77777777" w:rsidR="009107CD" w:rsidRPr="001A52E9" w:rsidRDefault="009107CD" w:rsidP="009107CD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2391771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 И ПРОФЕСИОНАЛНА СПОСОБНОСТ</w:t>
      </w:r>
      <w:bookmarkEnd w:id="16"/>
    </w:p>
    <w:p w14:paraId="3D72F894" w14:textId="77777777" w:rsidR="009107CD" w:rsidRPr="001A52E9" w:rsidRDefault="009107CD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Што се тиче техничке и професионалне способности из чланова 48.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Закона, понуђачи требају испунити сљедеће минималне УСЛОВЕ за квалификацију:</w:t>
      </w:r>
    </w:p>
    <w:p w14:paraId="7EB725BF" w14:textId="2A019D10" w:rsidR="009107CD" w:rsidRPr="00922D2C" w:rsidRDefault="000B3604" w:rsidP="009107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узорке, описе и/или фотографије робе која је предмет испоруке, а чију је вјер</w:t>
      </w:r>
      <w:r w:rsidR="00922D2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достој</w:t>
      </w:r>
      <w:r w:rsidR="00C672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ност понуђач обавезан потврдити</w:t>
      </w:r>
    </w:p>
    <w:p w14:paraId="53300460" w14:textId="77777777" w:rsidR="009107CD" w:rsidRPr="001F3CB7" w:rsidRDefault="009107CD" w:rsidP="009107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Оцјена техничке и професионалне способности понуђача из тачке 3.4.1.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извршити на основу достављања сљедећих ДОКАЗА:</w:t>
      </w:r>
    </w:p>
    <w:p w14:paraId="7424B79B" w14:textId="0ACD55B7" w:rsidR="009107CD" w:rsidRPr="007D5D1D" w:rsidRDefault="000B3604" w:rsidP="009107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д</w:t>
      </w:r>
      <w:r w:rsidR="009107C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C9686C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CB308B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Уко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лико се нуди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еквивалент за редни број 12 из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O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брасца за цијену робе</w:t>
      </w:r>
      <w:r w:rsidR="00C67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некса 3, понуђачи требају</w:t>
      </w:r>
      <w:r w:rsidR="00421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доставити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уз понуду </w:t>
      </w:r>
      <w:r w:rsidRPr="00C6728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BA"/>
        </w:rPr>
        <w:t>технички лист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издат од 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произвођача робе из кога се могу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видјети подаци о испуњавању одговарајућег стандарда мјерења броја одштампаних тестних страница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ISO/IEC 19752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стандард. Уколико се нуди еквивалент тонер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>a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који имају чипове потребн</w:t>
      </w:r>
      <w:r w:rsidR="00421FB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је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да понуђени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еквивалент садржи одговарајући чип. За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тражени тонер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потребан је појединач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ни технички лист из кога се може видјети капацитет исписа и други подаци који гарантују да замјенски тонер у потпуности мијења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гинал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тонер. На техничком листу обавезно уписати и редни број из техничке спецификације. Уколико понуђач нуди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гиналне тонере тада није дужан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достављати технички лист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као и доказ о испуњавању наведеног стандарда. Уколико се технички лист доставља на страном језику, мора бити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преведен и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овјерен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стране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овлаштеног судског тумача.</w:t>
      </w:r>
    </w:p>
    <w:p w14:paraId="3FA4A241" w14:textId="77777777" w:rsidR="009107CD" w:rsidRPr="00926028" w:rsidRDefault="009107CD" w:rsidP="009107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lastRenderedPageBreak/>
        <w:t>3.4.3. Понуђач је, у склопу своје понуде, дужан доставити оригинале или овјерене копије докумената (орган управе – оп</w:t>
      </w:r>
      <w:r w:rsidRPr="00926028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Pr="00926028">
        <w:rPr>
          <w:rFonts w:ascii="Times New Roman" w:hAnsi="Times New Roman" w:cs="Times New Roman"/>
          <w:sz w:val="24"/>
          <w:szCs w:val="24"/>
        </w:rPr>
        <w:t xml:space="preserve">ина, суд или нотар) из тачке 3.4.2. </w:t>
      </w:r>
      <w:proofErr w:type="gramStart"/>
      <w:r w:rsidRPr="00926028">
        <w:rPr>
          <w:rFonts w:ascii="Times New Roman" w:hAnsi="Times New Roman" w:cs="Times New Roman"/>
          <w:sz w:val="24"/>
          <w:szCs w:val="24"/>
        </w:rPr>
        <w:t>ТД којима доказује своју техничку и професионалну способност.</w:t>
      </w:r>
      <w:proofErr w:type="gramEnd"/>
    </w:p>
    <w:p w14:paraId="7667EFAA" w14:textId="77777777" w:rsidR="00241DC9" w:rsidRPr="004A57BA" w:rsidRDefault="00241DC9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B399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12391772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14:paraId="0E1C6ED5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9E38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C6B711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12391773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14:paraId="6869D03B" w14:textId="194CC7C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3E664518" w14:textId="77777777"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74758581" w14:textId="77777777"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8F9342" w14:textId="56E175AC" w:rsidR="006A67BE" w:rsidRPr="00D52AF7" w:rsidRDefault="00BC14B9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14:paraId="2E112C4F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14:paraId="63DDAAA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14:paraId="49E91F0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14:paraId="0F588FF6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14:paraId="5397953A" w14:textId="3B3973F0"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44A922" w14:textId="469DF14D" w:rsidR="00BE7616" w:rsidRPr="001F3CB7" w:rsidRDefault="00D34238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112391774"/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9"/>
      <w:bookmarkEnd w:id="20"/>
      <w:r w:rsidR="00BE761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19801A" w14:textId="6BC642F5" w:rsidR="00BE7616" w:rsidRDefault="00D34238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BE7616"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.1. </w:t>
      </w:r>
      <w:r w:rsidR="00BE7616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="00BE7616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приједлога за закључење оквирног споразума доставити: </w:t>
      </w:r>
    </w:p>
    <w:p w14:paraId="1F543DF0" w14:textId="43102264" w:rsidR="00BE7616" w:rsidRPr="001F3CB7" w:rsidRDefault="00BC14B9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63B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14:paraId="7DD8E784" w14:textId="51183981" w:rsidR="00BE7616" w:rsidRPr="006A67BE" w:rsidRDefault="00BC14B9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3.7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="00A63B1B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="00BE7616"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</w:t>
      </w:r>
      <w:r w:rsidR="003557A0">
        <w:rPr>
          <w:rFonts w:ascii="Times New Roman" w:eastAsia="Calibri" w:hAnsi="Times New Roman" w:cs="Times New Roman"/>
          <w:sz w:val="24"/>
          <w:szCs w:val="24"/>
          <w:lang w:val="sr-Cyrl-BA"/>
        </w:rPr>
        <w:t>рој) или Изјаву уколико није об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везник кој</w:t>
      </w:r>
      <w:r w:rsidR="003557A0">
        <w:rPr>
          <w:rFonts w:ascii="Times New Roman" w:eastAsia="Calibri" w:hAnsi="Times New Roman" w:cs="Times New Roman"/>
          <w:sz w:val="24"/>
          <w:szCs w:val="24"/>
          <w:lang w:val="sr-Cyrl-BA"/>
        </w:rPr>
        <w:t>ом потврђује да није порески об</w:t>
      </w:r>
      <w:r w:rsidR="00BE7616"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везник индиректних пореза.</w:t>
      </w:r>
      <w:r w:rsidR="00BE7616"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14:paraId="0536B02A" w14:textId="77777777"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12391775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14:paraId="1E10DC74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12391776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14:paraId="07E61387" w14:textId="6BC2F313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критериј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BE4" w:rsidRPr="001F3CB7">
        <w:rPr>
          <w:rFonts w:ascii="Times New Roman" w:hAnsi="Times New Roman" w:cs="Times New Roman"/>
          <w:sz w:val="24"/>
          <w:szCs w:val="24"/>
        </w:rPr>
        <w:t>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87DD2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14:paraId="173C53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7942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B43E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557F2EB" w14:textId="40AEB090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="003557A0">
        <w:rPr>
          <w:rFonts w:ascii="Times New Roman" w:hAnsi="Times New Roman" w:cs="Times New Roman"/>
          <w:sz w:val="24"/>
          <w:szCs w:val="24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A0F03F9" w14:textId="225762FB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186929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12391777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14:paraId="1C870D8F" w14:textId="77777777"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41FDB41" w14:textId="77777777"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AF7D9" w14:textId="77777777"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C731240" w14:textId="0D7D0CA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159019F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14:paraId="5440BDD2" w14:textId="35339075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C04F79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88/</w:t>
      </w:r>
      <w:r w:rsidR="00FF1481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BEF7C1" w14:textId="2D4A02E1"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4A57B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33987C" w14:textId="115C2C5B"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</w:t>
      </w:r>
      <w:r w:rsidR="003557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тонера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14:paraId="6D6D79B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BE2D220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12391778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14:paraId="67A3D7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7D6411" w14:textId="2897D332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љедеће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14:paraId="4C7493F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F5CBED3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12391779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14:paraId="14116D9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A4D6A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CC688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2565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46041F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8D08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5D9B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EEB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7DDA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12391780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14:paraId="551E67D1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81A036" w14:textId="77777777"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EBDE9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C6BEFD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12391781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14:paraId="5B99C6F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34135" w14:textId="62C2A83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септембра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966AC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50494DA" w14:textId="353436F1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CF23CB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12391782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14:paraId="049D1038" w14:textId="5832D13A" w:rsidR="00A659BA" w:rsidRPr="00C04F79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 септембра</w:t>
      </w:r>
      <w:r w:rsidR="001140B3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3615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14:paraId="1883F65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8EDBE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895D98C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7C79A0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F6D44B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DF27E45" w14:textId="02CB68EA" w:rsidR="00A659BA" w:rsidRPr="001F3CB7" w:rsidRDefault="00D3615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E2E9B8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2D0AB6" w14:textId="77777777"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112391783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14:paraId="2100E447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12391784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14:paraId="3A422A8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6609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5542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9D9EB" w14:textId="77777777"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12391785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99FB58" w14:textId="77777777"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12391786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14:paraId="7E4C12E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77DB04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E1ADBA" w14:textId="77777777"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112391787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14:paraId="5BD2890B" w14:textId="21FCCB0A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D36154">
        <w:rPr>
          <w:rFonts w:ascii="Times New Roman" w:hAnsi="Times New Roman" w:cs="Times New Roman"/>
          <w:sz w:val="24"/>
          <w:szCs w:val="24"/>
        </w:rPr>
        <w:t>садржа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6E047F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3651FB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FF3F64F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3CEC4B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541F0E8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DC3D144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3C400781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F6CA59E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1AA2B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46E164A7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14:paraId="4FDF4584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37AB38B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12391788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14:paraId="5546A62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5FF02C" w14:textId="55367F0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сљедећим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58D7399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E985D1F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392C00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A59EF9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A3E4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6447813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12391789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14:paraId="5BBF268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36CB2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41CB8DE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12391790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14:paraId="5CECCF6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DC6E98" w14:textId="77777777"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12391791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14:paraId="3A8B7318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12391792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8"/>
    </w:p>
    <w:p w14:paraId="12CB2A33" w14:textId="77777777"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период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1EAF23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12391793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14:paraId="0F31859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DDD9D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FA5E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7613AEB8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C22B749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ADE61D6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05BFB07" w14:textId="26B40D48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B9FC6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115ED58" w14:textId="77777777"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12391794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14:paraId="413EF33B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12391795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14:paraId="2705E2F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14:paraId="27E2174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7A47D1A" w14:textId="5921E6C3"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1D7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 септембра</w:t>
      </w:r>
      <w:r w:rsidR="00846DB0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00D25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2022. годин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6C6014A7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12391796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14:paraId="3D052C13" w14:textId="0F0224E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0A78B3D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5397F7E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0E269F" w14:textId="77777777"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21EC631A" w14:textId="77777777"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12391797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14:paraId="04A29EE9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DB7088A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14:paraId="21CF834E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ED13D7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21EE40B" w14:textId="5B9ED875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625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61F31AB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6 -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5C14563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7 -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14:paraId="528FBFC1" w14:textId="77777777"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14:paraId="6FBC3251" w14:textId="604E33DD" w:rsidR="00385233" w:rsidRDefault="00385233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9 – Изјава да ће робу испоручивати у ор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гиналном паковању</w:t>
      </w:r>
    </w:p>
    <w:p w14:paraId="253A8CDD" w14:textId="2F46CEFF" w:rsidR="00385233" w:rsidRPr="00385233" w:rsidRDefault="00385233" w:rsidP="0059060A">
      <w:pPr>
        <w:spacing w:before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10 – Изјава да ће испоручена роба у по</w:t>
      </w:r>
      <w:r w:rsidR="0059060A">
        <w:rPr>
          <w:rFonts w:ascii="Times New Roman" w:hAnsi="Times New Roman" w:cs="Times New Roman"/>
          <w:sz w:val="24"/>
          <w:szCs w:val="24"/>
          <w:lang w:val="sr-Cyrl-RS"/>
        </w:rPr>
        <w:t xml:space="preserve">тпуности задовољавати техничке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захтјеве</w:t>
      </w:r>
    </w:p>
    <w:p w14:paraId="523AB195" w14:textId="77777777" w:rsidR="00385233" w:rsidRPr="00385233" w:rsidRDefault="00385233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B7CEB" w14:textId="77777777"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40A68" w14:textId="77777777"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 w:rsidRPr="006D64D0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14:paraId="4CFFF2C0" w14:textId="77777777"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14:paraId="121087B8" w14:textId="77777777"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14:paraId="1F335AC3" w14:textId="77777777"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14:paraId="62E29374" w14:textId="77777777" w:rsidR="00EF5FFC" w:rsidRDefault="00FE639F" w:rsidP="00EF5FFC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02DB82B" w14:textId="293FB33E" w:rsidR="00FE639F" w:rsidRDefault="00FE639F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D64D0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EC7B9F" w:rsidRPr="006D64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C7B9F" w:rsidRPr="006D64D0">
        <w:rPr>
          <w:rFonts w:ascii="Times New Roman" w:hAnsi="Times New Roman" w:cs="Times New Roman"/>
          <w:sz w:val="24"/>
          <w:szCs w:val="24"/>
          <w:lang w:val="sr-Latn-RS"/>
        </w:rPr>
        <w:t>3114</w:t>
      </w:r>
      <w:r w:rsidR="00FF1481" w:rsidRPr="006D64D0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14:paraId="4F95D093" w14:textId="22F89260" w:rsid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Дана, 26. августа 2022. године</w:t>
      </w:r>
    </w:p>
    <w:p w14:paraId="4C4EEC98" w14:textId="65248C0B" w:rsidR="006D64D0" w:rsidRP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14:paraId="44FF0E7B" w14:textId="77777777" w:rsidR="00FF1481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DB5BC1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5BB124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A76422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B92CB8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F5437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293386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AA5DB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D92A1E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317A1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24CEB7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1B3C18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DD10A1" w14:textId="77777777" w:rsidR="00385233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5C3540" w14:textId="77777777" w:rsidR="00385233" w:rsidRPr="00241DC9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73ADE5" w14:textId="77777777" w:rsidR="00A63B1B" w:rsidRPr="001F3CB7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2F546" w14:textId="77777777"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4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4"/>
    </w:p>
    <w:p w14:paraId="31E8320E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11239179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14:paraId="33D522B2" w14:textId="77777777"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2A0D7D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F84158A" w14:textId="77777777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11239179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14:paraId="493B13D8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11239180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14:paraId="7A750E98" w14:textId="7A1AFAD4" w:rsidR="00DB56F0" w:rsidRPr="00C04F79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C04F79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C04F79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88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/22</w:t>
      </w:r>
    </w:p>
    <w:p w14:paraId="77BDE835" w14:textId="77777777"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14:paraId="4B82375C" w14:textId="77777777"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5D9292DF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14:paraId="5B1955AB" w14:textId="33289AD9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D3615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14:paraId="75F86718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980C16" w14:textId="77777777"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14:paraId="4514984F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223F341" w14:textId="77777777"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14:paraId="0C4CFB2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D54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10FF2998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634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CB2DEB0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F463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568E33CF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6EBC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F5C408A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EF3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CC66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B428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60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1945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BB0C00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4CC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1AF4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4FB94F4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DD80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4A00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20564591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1BE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166D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2EEE9F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89CB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FA7A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CD86CE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C2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4EE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3D55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98E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973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1FD472D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25CC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EFF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A05EC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6061BE" w14:textId="77777777"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14:paraId="4F927603" w14:textId="77777777"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C62F93" w14:textId="77777777"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1BF61E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14:paraId="61BD9CF6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23B6ED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D1745E0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E0AF8B" w14:textId="77777777"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46BB2310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43D062A" w14:textId="77777777"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0422470A" w14:textId="77777777"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20BEC94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0E7FA81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5260F271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6C41C2B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31D72B37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26A19CE5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210CD4B6" w14:textId="77777777"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14:paraId="04490397" w14:textId="77777777"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01B778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14:paraId="38C5F879" w14:textId="77777777"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14:paraId="1DD9FF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F36DBB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6972A69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042C373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14:paraId="4C5113A7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14:paraId="5D6BD7B1" w14:textId="77777777"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14:paraId="0D3E7BF8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14:paraId="31268454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14:paraId="2DAF5CF0" w14:textId="77777777"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14:paraId="3B8D3589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334B9426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14:paraId="757F454D" w14:textId="33635642" w:rsidR="00DB56F0" w:rsidRPr="001F3CB7" w:rsidRDefault="00C7459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14:paraId="2E929076" w14:textId="3F545BB2"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9060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54C3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7BCD183" w14:textId="77777777"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1BE75D8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2BB9E7B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2BBCBAC" w14:textId="77777777"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9814A0C" w14:textId="77777777"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1002698E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47983318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34ECF6A3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01BE99AB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0819EF6B" w14:textId="77777777"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66029B7C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14:paraId="0D13DD0D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E13ED5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6D846C6E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14:paraId="0C40ABA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14:paraId="2805EA8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14:paraId="0603141D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14:paraId="3F27528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14:paraId="6297105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14:paraId="585BA6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14:paraId="4F0FCA8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14:paraId="2BDA70B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14:paraId="76221E99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14:paraId="15FCCD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14:paraId="1E6FA21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14:paraId="3BAB034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AAAC03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39C177A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63D90F1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2EE3D80" w14:textId="77777777"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48BA2A12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28ECD4D3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20AD65CA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3726C6A2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659EFCEE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14:paraId="1E712218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3" w:name="_Toc38609462"/>
    </w:p>
    <w:p w14:paraId="1F5A2CA0" w14:textId="1C9F183A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11239180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3"/>
      <w:bookmarkEnd w:id="54"/>
    </w:p>
    <w:p w14:paraId="616EBAC2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1123918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5"/>
      <w:bookmarkEnd w:id="56"/>
    </w:p>
    <w:p w14:paraId="6FFF8D00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39D121C0" w14:textId="77777777"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14:paraId="2FCD08D3" w14:textId="77777777" w:rsidR="00300FF6" w:rsidRP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089A31" w14:textId="77777777" w:rsidR="00080DA6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14:paraId="6FF8C2BE" w14:textId="77777777" w:rsid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53E417" w14:textId="77777777" w:rsid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223F0" w14:textId="77777777" w:rsidR="00300FF6" w:rsidRDefault="00300FF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F1AC8" w14:textId="77777777" w:rsidR="00A4308B" w:rsidRPr="00300FF6" w:rsidRDefault="00A4308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245"/>
        <w:tblW w:w="11850" w:type="dxa"/>
        <w:tblLook w:val="04A0" w:firstRow="1" w:lastRow="0" w:firstColumn="1" w:lastColumn="0" w:noHBand="0" w:noVBand="1"/>
      </w:tblPr>
      <w:tblGrid>
        <w:gridCol w:w="955"/>
        <w:gridCol w:w="3080"/>
        <w:gridCol w:w="1032"/>
        <w:gridCol w:w="1769"/>
        <w:gridCol w:w="1357"/>
        <w:gridCol w:w="1375"/>
        <w:gridCol w:w="1494"/>
        <w:gridCol w:w="20"/>
        <w:gridCol w:w="1036"/>
      </w:tblGrid>
      <w:tr w:rsidR="00623A40" w:rsidRPr="00080DA6" w14:paraId="2CE0CFC4" w14:textId="77777777" w:rsidTr="00300FF6">
        <w:trPr>
          <w:trHeight w:val="2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2A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DE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Опис позиција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C10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Узорак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73CC" w14:textId="2E67164C" w:rsidR="00623A40" w:rsidRPr="00A4308B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Назив производа</w:t>
            </w:r>
            <w:r w:rsidR="00A430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A430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и произвођача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FE0D" w14:textId="77777777" w:rsidR="00623A4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Јединица </w:t>
            </w:r>
          </w:p>
          <w:p w14:paraId="4E82014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мјере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DD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332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Јединична цијена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9BA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623A40" w:rsidRPr="00080DA6" w14:paraId="43818B64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8B6" w14:textId="78158861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508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laser jet 1010/1018/10/20 - 12A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8B9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E37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A15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D7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926" w14:textId="77777777" w:rsidR="00623A40" w:rsidRPr="00080DA6" w:rsidRDefault="00623A40" w:rsidP="00300FF6">
            <w:pPr>
              <w:spacing w:befor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81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18E35D6E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8C3" w14:textId="6D1DEAB2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1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laser jet P3015 -255A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56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63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736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11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2C3" w14:textId="77777777" w:rsidR="00623A40" w:rsidRPr="00080DA6" w:rsidRDefault="00623A40" w:rsidP="00300FF6">
            <w:pPr>
              <w:spacing w:befor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56A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525312B9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818" w14:textId="2FC19970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75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laser jet 1005 - 35A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FF7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064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D42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B78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B8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E9B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78EC6D51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B22" w14:textId="31283162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EB7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laser jet M1120 MP - 36A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AB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C02D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E6CB86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B9C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0A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EB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1F1A8210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4A7" w14:textId="6DFB5251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79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laser jet 1102 - 85A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724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01EF1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DBB03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FB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6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859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0B90809B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096" w14:textId="5D91E5D6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CF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 xml:space="preserve">Samsung ML-2010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F3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C00577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E78C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0C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59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849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1DF8335F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F3F" w14:textId="412B18AF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72C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Samsung SCX-4200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586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D9018C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1D24C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7F2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43A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938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4E4C1E2E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7D0" w14:textId="2D5ED88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829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Canon 6670dn 719H 505A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F5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57F4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91C95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86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518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1B8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07920FE5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7C" w14:textId="2AA57C8D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BB7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HL-5100DN  TN3480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02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EE7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A37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B0A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F8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B04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62E98C24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5D6" w14:textId="29A7E7F8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B92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P3005dn Q7551A / 51A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F28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45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8878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37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0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7D3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0CD1A68A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FE6" w14:textId="297AD828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6D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Ricoh InfoPrint 1832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FC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64D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A25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47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A27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C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3C0A01AC" w14:textId="77777777" w:rsidTr="00300FF6">
        <w:trPr>
          <w:trHeight w:val="29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FF1" w14:textId="68C33FCF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C04F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927" w14:textId="5CDCC14B" w:rsidR="00623A40" w:rsidRDefault="00623A40" w:rsidP="00300FF6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ORIGINAL TONER CANON IR 8105 C-EXV 35 ili ekvivalent</w:t>
            </w:r>
            <w:r w:rsidR="00D36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sljedećih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karaktristika:</w:t>
            </w:r>
          </w:p>
          <w:p w14:paraId="6B3CC68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 kopija pri 5% pokrivenosti a4 papira: 70.000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5DA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1C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63E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AE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412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331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3A40" w:rsidRPr="00080DA6" w14:paraId="66282F97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946" w14:textId="2573DAC4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1C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Lexmark E360dn E 260-360-460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3F1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F67C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9BA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71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FF1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ED2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288C826B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A0" w14:textId="689C60A0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4F0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HL-L2312D  TN2421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E8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632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5FF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79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271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7CB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640AD030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D76" w14:textId="5233C8A5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27F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MFC-B7715DW B023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A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62F8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CE8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79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3A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CBB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1CFD3640" w14:textId="77777777" w:rsidTr="00300FF6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DD4" w14:textId="27A538B6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012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HL-5100DN bubanj DR3400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E7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3F3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7BC8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76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A9E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5A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3F27B94D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5F3" w14:textId="087D5EA2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6CE" w14:textId="77777777" w:rsidR="00623A40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HP DesignJet 500ps set kertridža bija i crni</w:t>
            </w:r>
          </w:p>
          <w:p w14:paraId="56ADEA4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64F" w14:textId="77777777" w:rsidR="00623A40" w:rsidRPr="00E84480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FEEB6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659EA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6B4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8A6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6C7D5655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65F" w14:textId="4CA42F63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DD5" w14:textId="77777777" w:rsidR="00623A40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F2F678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HL-L2312D DR2401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C3B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7CBE9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687D5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638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2E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8C7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3C0F0752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774" w14:textId="51BACE31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43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 xml:space="preserve">HP OfficeJet 7610 set kertridži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1E1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BA35E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7315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B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76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285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72A67870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A0F" w14:textId="068516DB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00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HL-1110 TN 1050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AF4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55A2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03EAC2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C8C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B4D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E04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6D0839EC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83C" w14:textId="3ACA75FF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733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HL-1110 DR1030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DAD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6066E3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7DA8C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A9" w14:textId="77777777" w:rsidR="00623A40" w:rsidRPr="00300FF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407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911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3A40" w:rsidRPr="00080DA6" w14:paraId="18887E6C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063" w14:textId="041D9873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754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C-EXV 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AFA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4B742F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B501F2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6B6" w14:textId="77777777" w:rsidR="00623A40" w:rsidRPr="00080DA6" w:rsidRDefault="00623A40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6C6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550" w14:textId="77777777" w:rsidR="00623A40" w:rsidRPr="00080DA6" w:rsidRDefault="00623A40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00FF6" w:rsidRPr="00080DA6" w14:paraId="33533442" w14:textId="77777777" w:rsidTr="00300FF6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F7D" w14:textId="7E6E1AF6" w:rsidR="00300FF6" w:rsidRPr="00080DA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C04F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879" w14:textId="77777777" w:rsidR="00300FF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652089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Brother MFC-B7715DW DR-B023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4CB" w14:textId="77777777" w:rsidR="00300FF6" w:rsidRPr="00080DA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50576" w14:textId="77777777" w:rsidR="00300FF6" w:rsidRPr="00080DA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F4121" w14:textId="63FEF42A" w:rsidR="00300FF6" w:rsidRPr="00300FF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2270D8" w14:textId="46E9E798" w:rsidR="00300FF6" w:rsidRPr="00300FF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D9" w14:textId="07C8339E" w:rsidR="00300FF6" w:rsidRPr="00300FF6" w:rsidRDefault="00300FF6" w:rsidP="00300FF6">
            <w:pPr>
              <w:spacing w:before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1A1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00FF6" w:rsidRPr="00080DA6" w14:paraId="5DA99E1E" w14:textId="4B2C3786" w:rsidTr="00300FF6">
        <w:trPr>
          <w:trHeight w:val="606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843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92BD579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92C2" w14:textId="77777777" w:rsidR="00300FF6" w:rsidRDefault="00300FF6" w:rsidP="00300FF6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7A5ADC55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300FF6" w:rsidRPr="00080DA6" w14:paraId="276E5336" w14:textId="058ABE92" w:rsidTr="00300FF6">
        <w:trPr>
          <w:trHeight w:val="373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B10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  <w:p w14:paraId="2D97C4EA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4C67" w14:textId="77777777" w:rsidR="00300FF6" w:rsidRDefault="00300FF6" w:rsidP="00300FF6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BD9A11" w14:textId="77777777" w:rsidR="00300FF6" w:rsidRPr="00080DA6" w:rsidRDefault="00300FF6" w:rsidP="00300FF6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0FF6" w:rsidRPr="00080DA6" w14:paraId="273CEFC6" w14:textId="77777777" w:rsidTr="00300FF6">
        <w:trPr>
          <w:trHeight w:val="440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0280" w14:textId="77777777" w:rsidR="00300FF6" w:rsidRPr="001F3CB7" w:rsidRDefault="00300FF6" w:rsidP="00300FF6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295" w14:textId="77777777" w:rsidR="00300FF6" w:rsidRPr="001F3CB7" w:rsidRDefault="00300FF6" w:rsidP="00300FF6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67C75279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3DA1A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2F1BB" w14:textId="77777777" w:rsidR="00080DA6" w:rsidRP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9A95F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36CA9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C96B7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2B291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93A52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2ECA3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08E6A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14:paraId="55245F89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14:paraId="6F71DB51" w14:textId="77777777"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14:paraId="7DF79660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14:paraId="1E50ED11" w14:textId="68E5A358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</w:t>
      </w:r>
      <w:r w:rsidR="00D3615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14:paraId="21A37953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14:paraId="177217F5" w14:textId="77777777"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14:paraId="305FC687" w14:textId="77777777" w:rsidR="00AB3E92" w:rsidRPr="00BC14B9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BC14B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3537E13" w14:textId="709288C8" w:rsidR="007D5D1D" w:rsidRPr="00BC14B9" w:rsidRDefault="007D5D1D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sr-Cyrl-RS"/>
        </w:rPr>
        <w:t>Уколико се нуди еквивалент за редни број 12 потребно је испунити захтјеве 3.4.2. д1</w:t>
      </w:r>
    </w:p>
    <w:p w14:paraId="0F0DCB54" w14:textId="40965D90" w:rsidR="00DB56F0" w:rsidRPr="00BC14B9" w:rsidRDefault="00DB56F0" w:rsidP="00BC14B9">
      <w:pPr>
        <w:tabs>
          <w:tab w:val="left" w:pos="284"/>
        </w:tabs>
        <w:spacing w:before="0"/>
        <w:jc w:val="both"/>
        <w:rPr>
          <w:rFonts w:ascii="Arial" w:hAnsi="Arial" w:cs="Arial"/>
          <w:sz w:val="24"/>
          <w:szCs w:val="24"/>
          <w:lang w:val="bs-Latn-BA"/>
        </w:rPr>
      </w:pPr>
      <w:r w:rsidRPr="00BC14B9">
        <w:rPr>
          <w:rFonts w:ascii="Arial" w:hAnsi="Arial" w:cs="Arial"/>
          <w:sz w:val="24"/>
          <w:szCs w:val="24"/>
          <w:lang w:val="bs-Latn-BA"/>
        </w:rPr>
        <w:br w:type="page"/>
      </w:r>
    </w:p>
    <w:p w14:paraId="2785EEB5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6838" w:h="11906" w:orient="landscape"/>
          <w:pgMar w:top="1797" w:right="1440" w:bottom="1797" w:left="902" w:header="709" w:footer="709" w:gutter="0"/>
          <w:pgNumType w:start="1"/>
          <w:cols w:space="708"/>
          <w:docGrid w:linePitch="360"/>
        </w:sectPr>
      </w:pPr>
      <w:bookmarkStart w:id="57" w:name="_Toc38609464"/>
    </w:p>
    <w:p w14:paraId="1F3E0745" w14:textId="7535AEF5"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1123918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7"/>
      <w:bookmarkEnd w:id="58"/>
    </w:p>
    <w:p w14:paraId="29A9ACEC" w14:textId="77777777"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5"/>
      <w:bookmarkStart w:id="60" w:name="_Toc1123918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9"/>
      <w:bookmarkEnd w:id="60"/>
    </w:p>
    <w:p w14:paraId="6D5B9ED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6EE8A3E5" w14:textId="77777777"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14:paraId="6DE47EA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71DBAD3F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3924F56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14:paraId="6EFA5D0C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5D0882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C03FE2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394082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F6C9344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35A81F4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323836FF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31A2A7CF" w14:textId="77777777"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14:paraId="480C7B81" w14:textId="7777777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6"/>
      <w:bookmarkStart w:id="62" w:name="_Toc1123918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1"/>
      <w:bookmarkEnd w:id="62"/>
    </w:p>
    <w:p w14:paraId="21EACC65" w14:textId="77777777" w:rsidR="00DB56F0" w:rsidRPr="001F3CB7" w:rsidRDefault="00E555E1" w:rsidP="00DB56F0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7"/>
      <w:bookmarkStart w:id="64" w:name="_Toc1123918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3"/>
      <w:bookmarkEnd w:id="64"/>
    </w:p>
    <w:p w14:paraId="47B011F0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ACF675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2E77D147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14:paraId="45A4646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идентични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EAD0542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EAF8B24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F79DFF0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5190B75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37D5F3BF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25F4C53F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3A3FDA1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3E9E0316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EE94A5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6D4F1C5" w14:textId="77777777" w:rsidR="00DB56F0" w:rsidRPr="001F3CB7" w:rsidRDefault="00DB56F0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14:paraId="124C056F" w14:textId="7777777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8"/>
      <w:bookmarkStart w:id="66" w:name="_Toc1123918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6</w:t>
      </w:r>
      <w:bookmarkEnd w:id="65"/>
      <w:bookmarkEnd w:id="66"/>
    </w:p>
    <w:p w14:paraId="09793843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69"/>
      <w:bookmarkStart w:id="68" w:name="_Toc1123918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7"/>
      <w:bookmarkEnd w:id="68"/>
    </w:p>
    <w:p w14:paraId="0A701A04" w14:textId="77777777"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14:paraId="09A2BD5C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4724D9" w14:textId="77777777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1B5D7C0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14:paraId="6C6C51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2924642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9E0275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D109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2B27EB4D" w14:textId="75A59455" w:rsidR="002C732E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388919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06676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7A9BD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78E93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059238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C728A3" w14:textId="77777777" w:rsidR="00BC14B9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6EDB31" w14:textId="77777777" w:rsidR="00BC14B9" w:rsidRPr="002C732E" w:rsidRDefault="00BC14B9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ABB2C" w14:textId="77777777"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6B446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E2CE156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4ACD94FB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D93B06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7BA26D9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B71529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57A12B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2CE898" w14:textId="77777777"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14:paraId="40E401A2" w14:textId="7777777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9" w:name="_Toc38609470"/>
      <w:bookmarkStart w:id="70" w:name="_Toc11239180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</w:t>
      </w:r>
      <w:bookmarkEnd w:id="69"/>
      <w:bookmarkEnd w:id="70"/>
    </w:p>
    <w:p w14:paraId="061F8BB5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14:paraId="033F48CB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14:paraId="2DD8436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5C9E8DFA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1" w:name="_Toc38609471"/>
      <w:bookmarkStart w:id="72" w:name="_Toc11239181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71"/>
      <w:bookmarkEnd w:id="72"/>
    </w:p>
    <w:p w14:paraId="49B98C35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14:paraId="64F1CF2B" w14:textId="7777777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5AB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D9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E0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16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14:paraId="4F34E65C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F3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BD96E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7BE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8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B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7268C0D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34C267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2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0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AE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47D04ABF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AF3F5F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39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D5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CF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A39BD50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D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E93A56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0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4F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D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14:paraId="542085E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D883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209B7F" w14:textId="77777777"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14:paraId="25FA4369" w14:textId="77777777"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0CF8D8A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9D544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B6925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619D593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232F70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DF96A9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54A382FF" w14:textId="77777777" w:rsidR="00DB56F0" w:rsidRPr="00500DD2" w:rsidRDefault="00E555E1" w:rsidP="00500DD2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_Toc33097049"/>
      <w:bookmarkStart w:id="74" w:name="_Toc38609476"/>
      <w:bookmarkStart w:id="75" w:name="_Toc11239181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3"/>
      <w:bookmarkEnd w:id="74"/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bookmarkEnd w:id="75"/>
    </w:p>
    <w:p w14:paraId="1FE553EB" w14:textId="77777777"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6" w:name="_Toc38609479"/>
      <w:bookmarkStart w:id="77" w:name="_Toc112391812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6"/>
      <w:bookmarkEnd w:id="77"/>
    </w:p>
    <w:p w14:paraId="3BD12BB3" w14:textId="3C5F92FD" w:rsidR="00007980" w:rsidRPr="001F3CB7" w:rsidRDefault="00500DD2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Замјенски</w:t>
      </w:r>
      <w:r w:rsidR="00095F9E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тонера</w:t>
      </w:r>
    </w:p>
    <w:p w14:paraId="628636E2" w14:textId="77777777"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14:paraId="51F47988" w14:textId="77777777"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500DD2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замјенски тонера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14:paraId="2AE732CB" w14:textId="77777777"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14:paraId="02946E2A" w14:textId="77777777"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14:paraId="135301A0" w14:textId="77777777"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14:paraId="72720BB9" w14:textId="77777777"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14:paraId="1C38BCAF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14:paraId="47AB3E72" w14:textId="77777777"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500DD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замјенски тонера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14:paraId="0F877016" w14:textId="77777777"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14:paraId="59E3B935" w14:textId="77777777" w:rsidR="00715679" w:rsidRP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14:paraId="10450F7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14:paraId="446EAFE1" w14:textId="77777777" w:rsidR="00715679" w:rsidRP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655E234D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14:paraId="677D35A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97F80EF" w14:textId="77777777"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14:paraId="3B823F0B" w14:textId="77777777"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EB96A42" w14:textId="77777777"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14:paraId="7A2E109C" w14:textId="77777777"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54401812" w14:textId="77777777"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9E85DDB" w14:textId="77777777" w:rsidR="00500DD2" w:rsidRDefault="00500DD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6562F1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lastRenderedPageBreak/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14:paraId="26917CDD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66FDE70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14:paraId="7CB53258" w14:textId="77777777"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E595AFF" w14:textId="77777777"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14:paraId="5504BA6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16F21F6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14:paraId="0F76A479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590821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14:paraId="23DB4E73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2F5D5E0E" w14:textId="77777777"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14:paraId="2BEE157B" w14:textId="77777777"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Сачинила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Данијела Плакаловић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правник,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</w:p>
    <w:p w14:paraId="67BAD3B7" w14:textId="77777777"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Контролисао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Свјетлан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Илић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055910FD" w14:textId="77777777"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44ED76E7" w14:textId="77777777"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F75036" w14:textId="77777777"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F700ED" wp14:editId="0AEB7DEF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8668" w14:textId="77777777" w:rsidR="001023AF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14:paraId="0DDF28B7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45299B4B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68376988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30D865B7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78C2F91D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14:paraId="6ADBD35B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0E4833C9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02F764E3" w14:textId="77777777" w:rsidR="001023AF" w:rsidRPr="00750A21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67E61B26" w14:textId="77777777" w:rsidR="001023AF" w:rsidRPr="00750A21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14:paraId="01AC73FA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4FE9E8E7" w14:textId="77777777" w:rsidR="001023AF" w:rsidRPr="00DF36BC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5B98D0C4" w14:textId="77777777" w:rsidR="001023AF" w:rsidRPr="00750A21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108DE0CC" w14:textId="77777777" w:rsidR="001023AF" w:rsidRPr="00750A21" w:rsidRDefault="001023AF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14:paraId="2DF5B3AC" w14:textId="77777777" w:rsidR="001023AF" w:rsidRPr="00DF36BC" w:rsidRDefault="001023AF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45FAA4DA" w14:textId="77777777" w:rsidR="001023AF" w:rsidRPr="00AD395D" w:rsidRDefault="001023AF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B931118" w14:textId="77777777" w:rsidR="001023AF" w:rsidRPr="00AD395D" w:rsidRDefault="001023AF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14:paraId="52868668" w14:textId="77777777" w:rsidR="005B41B4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14:paraId="0DDF28B7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45299B4B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68376988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14:paraId="30D865B7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14:paraId="78C2F91D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14:paraId="6ADBD35B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0E4833C9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02F764E3" w14:textId="77777777" w:rsidR="005B41B4" w:rsidRPr="00750A21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67E61B26" w14:textId="77777777" w:rsidR="005B41B4" w:rsidRPr="00750A21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14:paraId="01AC73FA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4FE9E8E7" w14:textId="77777777" w:rsidR="005B41B4" w:rsidRPr="00DF36BC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5B98D0C4" w14:textId="77777777" w:rsidR="005B41B4" w:rsidRPr="00750A21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108DE0CC" w14:textId="77777777" w:rsidR="005B41B4" w:rsidRPr="00750A21" w:rsidRDefault="005B41B4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14:paraId="2DF5B3AC" w14:textId="77777777" w:rsidR="005B41B4" w:rsidRPr="00DF36BC" w:rsidRDefault="005B41B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45FAA4DA" w14:textId="77777777" w:rsidR="005B41B4" w:rsidRPr="00AD395D" w:rsidRDefault="005B41B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B931118" w14:textId="77777777" w:rsidR="005B41B4" w:rsidRPr="00AD395D" w:rsidRDefault="005B41B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ECD0EB7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4AFAA4" wp14:editId="627E1D9F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87" w14:textId="77777777" w:rsidR="001023AF" w:rsidRDefault="001023AF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14:paraId="1C6D8B49" w14:textId="77777777" w:rsidR="001023AF" w:rsidRPr="007C4321" w:rsidRDefault="001023AF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14:paraId="318530EF" w14:textId="77777777" w:rsidR="001023AF" w:rsidRPr="00DF36BC" w:rsidRDefault="001023AF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14:paraId="5DB30A41" w14:textId="77777777" w:rsidR="001023AF" w:rsidRPr="00DF36BC" w:rsidRDefault="001023AF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389D39C1" w14:textId="77777777" w:rsidR="001023AF" w:rsidRPr="00DF36BC" w:rsidRDefault="001023AF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02BD684D" w14:textId="77777777" w:rsidR="001023AF" w:rsidRPr="00DF36BC" w:rsidRDefault="001023AF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14:paraId="3756F484" w14:textId="77777777" w:rsidR="001023AF" w:rsidRPr="00DF36BC" w:rsidRDefault="001023AF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1DEF3BAE" w14:textId="77777777" w:rsidR="001023AF" w:rsidRDefault="001023AF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14:paraId="7DD156E0" w14:textId="77777777" w:rsidR="001023AF" w:rsidRPr="00430284" w:rsidRDefault="001023AF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14:paraId="675E0187" w14:textId="77777777" w:rsidR="005B41B4" w:rsidRDefault="005B41B4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14:paraId="1C6D8B49" w14:textId="77777777" w:rsidR="005B41B4" w:rsidRPr="007C4321" w:rsidRDefault="005B41B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14:paraId="318530EF" w14:textId="77777777" w:rsidR="005B41B4" w:rsidRPr="00DF36BC" w:rsidRDefault="005B41B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14:paraId="5DB30A41" w14:textId="77777777" w:rsidR="005B41B4" w:rsidRPr="00DF36BC" w:rsidRDefault="005B41B4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389D39C1" w14:textId="77777777" w:rsidR="005B41B4" w:rsidRPr="00DF36BC" w:rsidRDefault="005B41B4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02BD684D" w14:textId="77777777" w:rsidR="005B41B4" w:rsidRPr="00DF36BC" w:rsidRDefault="005B41B4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14:paraId="3756F484" w14:textId="77777777" w:rsidR="005B41B4" w:rsidRPr="00DF36BC" w:rsidRDefault="005B41B4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1DEF3BAE" w14:textId="77777777" w:rsidR="005B41B4" w:rsidRDefault="005B41B4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14:paraId="7DD156E0" w14:textId="77777777" w:rsidR="005B41B4" w:rsidRPr="00430284" w:rsidRDefault="005B41B4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BBA804A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D8497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6FEA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05E3E46D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2BECD0B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3CCCCF40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837A331" w14:textId="77777777"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C5995" w14:textId="77777777"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2285673F" w14:textId="77777777" w:rsidR="00DB56F0" w:rsidRDefault="00DB56F0" w:rsidP="00DB56F0">
      <w:pPr>
        <w:tabs>
          <w:tab w:val="left" w:pos="4536"/>
        </w:tabs>
        <w:rPr>
          <w:sz w:val="24"/>
          <w:szCs w:val="24"/>
          <w:lang w:val="sr-Cyrl-RS"/>
        </w:rPr>
      </w:pPr>
    </w:p>
    <w:p w14:paraId="72D6A59D" w14:textId="77777777"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F9C6E0C" w14:textId="77777777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14:paraId="1F369F7F" w14:textId="77777777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14:paraId="0D919C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2E0B1C" w14:textId="77777777"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14:paraId="4F6CE984" w14:textId="77777777" w:rsidR="00DB56F0" w:rsidRPr="0087202E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Овај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треба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попунити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(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генералије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предмет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максимална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вриједност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)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овјерити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овлаштено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лице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понуђача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складу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Анексом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2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тачка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9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ТД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14:paraId="20475D93" w14:textId="77777777" w:rsidR="00DB56F0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Након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што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утврди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правоснажност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Одлуке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додјели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,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уговорне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стране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ће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прецизирати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све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елементе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бази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овог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нацрта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оквирног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споразума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и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прихваћене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 xml:space="preserve"> </w:t>
      </w:r>
      <w:r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понуде</w:t>
      </w:r>
      <w:r w:rsidR="00DB56F0" w:rsidRPr="0087202E">
        <w:rPr>
          <w:rFonts w:ascii="Times New Roman" w:hAnsi="Times New Roman" w:cs="Times New Roman"/>
          <w:i/>
          <w:color w:val="000000" w:themeColor="text1"/>
          <w:sz w:val="18"/>
          <w:szCs w:val="18"/>
          <w:lang w:val="bs-Latn-BA"/>
        </w:rPr>
        <w:t>.</w:t>
      </w:r>
    </w:p>
    <w:p w14:paraId="6CDD841A" w14:textId="77777777" w:rsidR="00E84480" w:rsidRPr="00E84480" w:rsidRDefault="00E84480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8448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АНЕКС 9</w:t>
      </w:r>
    </w:p>
    <w:p w14:paraId="0921C007" w14:textId="77777777" w:rsidR="00E84480" w:rsidRPr="00C32C85" w:rsidRDefault="00E84480" w:rsidP="00E84480">
      <w:pPr>
        <w:rPr>
          <w:b/>
          <w:bCs/>
          <w:i/>
          <w:iCs/>
        </w:rPr>
      </w:pPr>
    </w:p>
    <w:p w14:paraId="6ED07347" w14:textId="77777777" w:rsidR="00E84480" w:rsidRDefault="00E84480" w:rsidP="00E84480">
      <w:pPr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                                 </w:t>
      </w:r>
    </w:p>
    <w:p w14:paraId="4DE36779" w14:textId="77777777" w:rsidR="00E84480" w:rsidRPr="00095F9E" w:rsidRDefault="00E84480" w:rsidP="00E8448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095F9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И З Ј А В А</w:t>
      </w:r>
    </w:p>
    <w:p w14:paraId="28057063" w14:textId="77777777" w:rsidR="00E84480" w:rsidRPr="00095F9E" w:rsidRDefault="00E84480" w:rsidP="00E84480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73B5613A" w14:textId="77777777" w:rsidR="00E84480" w:rsidRPr="00095F9E" w:rsidRDefault="00E84480" w:rsidP="00E84480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105FD10E" w14:textId="77777777" w:rsidR="00E84480" w:rsidRPr="00095F9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Којом одговорно лице ________________________________________ понуђача ____________________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_______________________________________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_ </w:t>
      </w:r>
    </w:p>
    <w:p w14:paraId="46E3B79D" w14:textId="77777777" w:rsidR="00E84480" w:rsidRPr="00095F9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у својству ______________________________________________потврђује да       понуђач_________________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ЈИБ/ИБ___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_______________</w:t>
      </w:r>
    </w:p>
    <w:p w14:paraId="2907DE59" w14:textId="77777777" w:rsidR="00E84480" w:rsidRPr="00095F9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нема сметњи за судјеловање у поступку јавне набавке роба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_________________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___________________________________________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br/>
        <w:t xml:space="preserve">                                       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(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навести предметну набавку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)</w:t>
      </w:r>
    </w:p>
    <w:p w14:paraId="2DE9CDC8" w14:textId="77777777" w:rsidR="00E84480" w:rsidRPr="00095F9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Cyrl-BA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</w:t>
      </w:r>
      <w:r w:rsidRPr="00095F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истом потврђује да ће испоручена роба бити испоручена у оригиналном паковању произвођача.</w:t>
      </w:r>
    </w:p>
    <w:p w14:paraId="7D883623" w14:textId="77777777" w:rsidR="00E84480" w:rsidRPr="003808F9" w:rsidRDefault="00E84480" w:rsidP="00E84480">
      <w:pPr>
        <w:jc w:val="both"/>
        <w:rPr>
          <w:bCs/>
          <w:iCs/>
          <w:lang w:val="sr-Cyrl-CS"/>
        </w:rPr>
      </w:pPr>
    </w:p>
    <w:p w14:paraId="4A857E14" w14:textId="77777777" w:rsidR="00C04F79" w:rsidRPr="00C04F79" w:rsidRDefault="00C04F79" w:rsidP="00E84480">
      <w:pPr>
        <w:jc w:val="both"/>
        <w:rPr>
          <w:iCs/>
          <w:lang w:val="sr-Latn-RS"/>
        </w:rPr>
      </w:pPr>
    </w:p>
    <w:p w14:paraId="468C833D" w14:textId="77777777" w:rsidR="00E84480" w:rsidRPr="003808F9" w:rsidRDefault="00E84480" w:rsidP="00E84480">
      <w:pPr>
        <w:jc w:val="both"/>
        <w:rPr>
          <w:bCs/>
          <w:iCs/>
          <w:lang w:val="sr-Cyrl-CS"/>
        </w:rPr>
      </w:pPr>
    </w:p>
    <w:p w14:paraId="17938FFB" w14:textId="77777777" w:rsidR="00E84480" w:rsidRPr="00095F9E" w:rsidRDefault="00E84480" w:rsidP="00E844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____________ дана_______________20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22</w:t>
      </w: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године</w:t>
      </w:r>
    </w:p>
    <w:p w14:paraId="13075B57" w14:textId="77777777" w:rsidR="00E84480" w:rsidRPr="00095F9E" w:rsidRDefault="00E84480" w:rsidP="00E844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  </w:t>
      </w:r>
    </w:p>
    <w:p w14:paraId="1C47D334" w14:textId="77777777" w:rsidR="00E84480" w:rsidRPr="00095F9E" w:rsidRDefault="00E84480" w:rsidP="00E84480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095F9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________________________________                                М.П.                                                                                             (Потпис-пуно име и презиме)</w:t>
      </w:r>
    </w:p>
    <w:p w14:paraId="0A7E2705" w14:textId="77777777" w:rsidR="00E84480" w:rsidRPr="00095F9E" w:rsidRDefault="00E84480" w:rsidP="00E8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95F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5A56345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4DE4AE6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2EEC248F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44354F9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61F91D4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42A1C6D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E915417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53F60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E42B189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FA1C0AA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B69292D" w14:textId="77777777" w:rsidR="00C04F79" w:rsidRP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688CD0E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D3792F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0E3EDC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58E670C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3140B21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22FBCDAD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10E33C6" w14:textId="77777777" w:rsidR="00E84480" w:rsidRPr="007063EE" w:rsidRDefault="00E84480" w:rsidP="00E8448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7063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lastRenderedPageBreak/>
        <w:t>АНЕКС 10</w:t>
      </w:r>
    </w:p>
    <w:p w14:paraId="08E5092D" w14:textId="77777777" w:rsidR="00E84480" w:rsidRPr="007063EE" w:rsidRDefault="00E84480" w:rsidP="00E8448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7063E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</w:t>
      </w:r>
    </w:p>
    <w:p w14:paraId="559DB972" w14:textId="77777777" w:rsidR="00E84480" w:rsidRPr="007063EE" w:rsidRDefault="00E84480" w:rsidP="00E8448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7063E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И З Ј А В А</w:t>
      </w:r>
    </w:p>
    <w:p w14:paraId="1EE029CD" w14:textId="77777777" w:rsidR="00E84480" w:rsidRPr="007063EE" w:rsidRDefault="00E84480" w:rsidP="00E84480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18B059B8" w14:textId="77777777" w:rsidR="00E84480" w:rsidRPr="007063EE" w:rsidRDefault="00E84480" w:rsidP="00E84480">
      <w:pP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14:paraId="406E9CD1" w14:textId="77777777" w:rsidR="00E84480" w:rsidRPr="007063E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Којом одговорно лице ________________________________________ понуђача ____________________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_______________________________________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_ </w:t>
      </w:r>
    </w:p>
    <w:p w14:paraId="6E82E7DF" w14:textId="77777777" w:rsidR="00E84480" w:rsidRPr="007063E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у својству ______________________________________________потврђује да       понуђач_________________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ЈИБ/ИБ 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_______________</w:t>
      </w:r>
    </w:p>
    <w:p w14:paraId="2F065012" w14:textId="77777777" w:rsidR="00E84480" w:rsidRPr="007063E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нема сметњи за судјеловање у поступку јавне набавке роба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_________________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___________________________________________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br/>
        <w:t xml:space="preserve">                                       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(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навести предметну набавку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)</w:t>
      </w:r>
    </w:p>
    <w:p w14:paraId="203A9856" w14:textId="77777777" w:rsidR="00E84480" w:rsidRPr="007063EE" w:rsidRDefault="00E84480" w:rsidP="00E8448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 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истом потврђује да ће испоручена роба у потпуности задовољавати </w:t>
      </w:r>
      <w:r w:rsidRPr="007063EE">
        <w:rPr>
          <w:rFonts w:ascii="Times New Roman" w:hAnsi="Times New Roman" w:cs="Times New Roman"/>
          <w:bCs/>
          <w:sz w:val="24"/>
          <w:szCs w:val="24"/>
          <w:lang w:val="sr-Cyrl-BA"/>
        </w:rPr>
        <w:t>захтјеване техничке карактеристике</w:t>
      </w:r>
      <w:r w:rsidRPr="007063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8268B" w14:textId="77777777" w:rsidR="00E84480" w:rsidRPr="007063EE" w:rsidRDefault="00E84480" w:rsidP="00E84480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73CBA9F7" w14:textId="77777777" w:rsidR="00E84480" w:rsidRPr="007063EE" w:rsidRDefault="00E84480" w:rsidP="00E844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67445227" w14:textId="77777777" w:rsidR="00E84480" w:rsidRPr="007063EE" w:rsidRDefault="00E84480" w:rsidP="00E844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____________ дана_______________20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22</w:t>
      </w: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године</w:t>
      </w:r>
    </w:p>
    <w:p w14:paraId="431091E3" w14:textId="77777777" w:rsidR="00E84480" w:rsidRPr="007063EE" w:rsidRDefault="00E84480" w:rsidP="00E844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   </w:t>
      </w:r>
    </w:p>
    <w:p w14:paraId="6DB984A2" w14:textId="77777777" w:rsidR="00E84480" w:rsidRPr="007063EE" w:rsidRDefault="00E84480" w:rsidP="00E84480">
      <w:pPr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063E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________________________________                                М.П.                                                                                             (Потпис-пуно име и презиме)</w:t>
      </w:r>
    </w:p>
    <w:p w14:paraId="01222C86" w14:textId="77777777" w:rsidR="00E84480" w:rsidRPr="007063EE" w:rsidRDefault="00E84480" w:rsidP="00E8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2B2ED" w14:textId="77777777" w:rsidR="00E84480" w:rsidRPr="007063EE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</w:p>
    <w:sectPr w:rsidR="00E84480" w:rsidRPr="007063EE" w:rsidSect="00241DC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16BB8" w15:done="0"/>
  <w15:commentEx w15:paraId="406E7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F4CC" w14:textId="77777777" w:rsidR="008C76C6" w:rsidRDefault="008C76C6" w:rsidP="00BC7E07">
      <w:pPr>
        <w:spacing w:before="0"/>
      </w:pPr>
      <w:r>
        <w:separator/>
      </w:r>
    </w:p>
  </w:endnote>
  <w:endnote w:type="continuationSeparator" w:id="0">
    <w:p w14:paraId="44A4867D" w14:textId="77777777" w:rsidR="008C76C6" w:rsidRDefault="008C76C6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FA71" w14:textId="0EC4F31D" w:rsidR="001023AF" w:rsidRPr="00BA2F1E" w:rsidRDefault="001023AF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70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38C2" w14:textId="77777777" w:rsidR="008C76C6" w:rsidRDefault="008C76C6" w:rsidP="00BC7E07">
      <w:pPr>
        <w:spacing w:before="0"/>
      </w:pPr>
      <w:r>
        <w:separator/>
      </w:r>
    </w:p>
  </w:footnote>
  <w:footnote w:type="continuationSeparator" w:id="0">
    <w:p w14:paraId="28C5C314" w14:textId="77777777" w:rsidR="008C76C6" w:rsidRDefault="008C76C6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93440"/>
    <w:multiLevelType w:val="multilevel"/>
    <w:tmpl w:val="2BA495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1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4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DA6"/>
    <w:rsid w:val="00080E92"/>
    <w:rsid w:val="00084ACE"/>
    <w:rsid w:val="00085326"/>
    <w:rsid w:val="00087E0A"/>
    <w:rsid w:val="00095F9E"/>
    <w:rsid w:val="000B0E63"/>
    <w:rsid w:val="000B3604"/>
    <w:rsid w:val="000B41B4"/>
    <w:rsid w:val="000B6D1A"/>
    <w:rsid w:val="000C3B32"/>
    <w:rsid w:val="000C70F4"/>
    <w:rsid w:val="000E3280"/>
    <w:rsid w:val="000E5DDC"/>
    <w:rsid w:val="000E7E7A"/>
    <w:rsid w:val="00100AEB"/>
    <w:rsid w:val="001023AF"/>
    <w:rsid w:val="001140B3"/>
    <w:rsid w:val="001241B5"/>
    <w:rsid w:val="001300BB"/>
    <w:rsid w:val="00136FC6"/>
    <w:rsid w:val="0014291E"/>
    <w:rsid w:val="00145DC9"/>
    <w:rsid w:val="001472D5"/>
    <w:rsid w:val="00150379"/>
    <w:rsid w:val="00155A4B"/>
    <w:rsid w:val="00156D5D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42E3"/>
    <w:rsid w:val="00225A96"/>
    <w:rsid w:val="00227A36"/>
    <w:rsid w:val="002321CA"/>
    <w:rsid w:val="00233A47"/>
    <w:rsid w:val="00235511"/>
    <w:rsid w:val="00241DC9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3162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730"/>
    <w:rsid w:val="002F3BB7"/>
    <w:rsid w:val="002F4243"/>
    <w:rsid w:val="002F789C"/>
    <w:rsid w:val="00300FF6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7A0"/>
    <w:rsid w:val="00362E45"/>
    <w:rsid w:val="00363B5C"/>
    <w:rsid w:val="00365555"/>
    <w:rsid w:val="00367580"/>
    <w:rsid w:val="003727FC"/>
    <w:rsid w:val="00372E7D"/>
    <w:rsid w:val="003808F9"/>
    <w:rsid w:val="00385233"/>
    <w:rsid w:val="003908E1"/>
    <w:rsid w:val="00395F72"/>
    <w:rsid w:val="003A77BC"/>
    <w:rsid w:val="003A7DEC"/>
    <w:rsid w:val="003B0CD6"/>
    <w:rsid w:val="003B14D2"/>
    <w:rsid w:val="003C38B9"/>
    <w:rsid w:val="003D1F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21FBC"/>
    <w:rsid w:val="004305E1"/>
    <w:rsid w:val="00437F09"/>
    <w:rsid w:val="00445056"/>
    <w:rsid w:val="004450F5"/>
    <w:rsid w:val="00454A76"/>
    <w:rsid w:val="00456DC7"/>
    <w:rsid w:val="004612A3"/>
    <w:rsid w:val="00465A5B"/>
    <w:rsid w:val="004729E0"/>
    <w:rsid w:val="004901C6"/>
    <w:rsid w:val="004A2129"/>
    <w:rsid w:val="004A248C"/>
    <w:rsid w:val="004A57BA"/>
    <w:rsid w:val="004A67CD"/>
    <w:rsid w:val="004A7E4F"/>
    <w:rsid w:val="004B5473"/>
    <w:rsid w:val="004B5798"/>
    <w:rsid w:val="004B5DC2"/>
    <w:rsid w:val="004B65C6"/>
    <w:rsid w:val="004C453A"/>
    <w:rsid w:val="004D0610"/>
    <w:rsid w:val="004D13B2"/>
    <w:rsid w:val="004E048A"/>
    <w:rsid w:val="004E4CBA"/>
    <w:rsid w:val="004E557A"/>
    <w:rsid w:val="004E6412"/>
    <w:rsid w:val="004F14F1"/>
    <w:rsid w:val="00500DD2"/>
    <w:rsid w:val="00503627"/>
    <w:rsid w:val="00511EAC"/>
    <w:rsid w:val="00512194"/>
    <w:rsid w:val="005246FD"/>
    <w:rsid w:val="00531465"/>
    <w:rsid w:val="00536727"/>
    <w:rsid w:val="0053785F"/>
    <w:rsid w:val="0054042D"/>
    <w:rsid w:val="00540CA6"/>
    <w:rsid w:val="0054535B"/>
    <w:rsid w:val="00546253"/>
    <w:rsid w:val="005546DF"/>
    <w:rsid w:val="00554C3A"/>
    <w:rsid w:val="005563FB"/>
    <w:rsid w:val="00560E23"/>
    <w:rsid w:val="00572FF7"/>
    <w:rsid w:val="005867C2"/>
    <w:rsid w:val="00590017"/>
    <w:rsid w:val="0059060A"/>
    <w:rsid w:val="005959E7"/>
    <w:rsid w:val="005A3E86"/>
    <w:rsid w:val="005A64E9"/>
    <w:rsid w:val="005B41B4"/>
    <w:rsid w:val="005B7C60"/>
    <w:rsid w:val="005C0B22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1D75"/>
    <w:rsid w:val="00612421"/>
    <w:rsid w:val="0061291E"/>
    <w:rsid w:val="00623A40"/>
    <w:rsid w:val="00624394"/>
    <w:rsid w:val="006244BA"/>
    <w:rsid w:val="00625A08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D64D0"/>
    <w:rsid w:val="006E48C8"/>
    <w:rsid w:val="00703DCF"/>
    <w:rsid w:val="00703E4E"/>
    <w:rsid w:val="00704F76"/>
    <w:rsid w:val="00705AD8"/>
    <w:rsid w:val="007063EE"/>
    <w:rsid w:val="0071168F"/>
    <w:rsid w:val="00714632"/>
    <w:rsid w:val="00715679"/>
    <w:rsid w:val="0071589C"/>
    <w:rsid w:val="00717085"/>
    <w:rsid w:val="007202EB"/>
    <w:rsid w:val="00720C12"/>
    <w:rsid w:val="00730CD7"/>
    <w:rsid w:val="00731D0D"/>
    <w:rsid w:val="007346F9"/>
    <w:rsid w:val="00734976"/>
    <w:rsid w:val="00750449"/>
    <w:rsid w:val="00750A21"/>
    <w:rsid w:val="00750B77"/>
    <w:rsid w:val="00765F8D"/>
    <w:rsid w:val="00772643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5D1D"/>
    <w:rsid w:val="007D7B22"/>
    <w:rsid w:val="007E3652"/>
    <w:rsid w:val="007F11A3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82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1160"/>
    <w:rsid w:val="0087202E"/>
    <w:rsid w:val="0087664B"/>
    <w:rsid w:val="00876AD0"/>
    <w:rsid w:val="00880057"/>
    <w:rsid w:val="00885AA7"/>
    <w:rsid w:val="00891733"/>
    <w:rsid w:val="00895A34"/>
    <w:rsid w:val="008A023E"/>
    <w:rsid w:val="008A33E4"/>
    <w:rsid w:val="008B180F"/>
    <w:rsid w:val="008B46F8"/>
    <w:rsid w:val="008C3A7E"/>
    <w:rsid w:val="008C56B6"/>
    <w:rsid w:val="008C76C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07CD"/>
    <w:rsid w:val="00912B08"/>
    <w:rsid w:val="0091465D"/>
    <w:rsid w:val="009159AF"/>
    <w:rsid w:val="00922D2C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308B"/>
    <w:rsid w:val="00A44907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5169"/>
    <w:rsid w:val="00AB306C"/>
    <w:rsid w:val="00AB3E92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17D87"/>
    <w:rsid w:val="00B20234"/>
    <w:rsid w:val="00B22EFF"/>
    <w:rsid w:val="00B24560"/>
    <w:rsid w:val="00B2528D"/>
    <w:rsid w:val="00B3138E"/>
    <w:rsid w:val="00B400D9"/>
    <w:rsid w:val="00B43844"/>
    <w:rsid w:val="00B465D2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14B9"/>
    <w:rsid w:val="00BC7E07"/>
    <w:rsid w:val="00BE5149"/>
    <w:rsid w:val="00BE7616"/>
    <w:rsid w:val="00BF4BE4"/>
    <w:rsid w:val="00C005E5"/>
    <w:rsid w:val="00C021DC"/>
    <w:rsid w:val="00C04AC0"/>
    <w:rsid w:val="00C04F79"/>
    <w:rsid w:val="00C06A7F"/>
    <w:rsid w:val="00C06B01"/>
    <w:rsid w:val="00C07D31"/>
    <w:rsid w:val="00C1231C"/>
    <w:rsid w:val="00C408A4"/>
    <w:rsid w:val="00C626C7"/>
    <w:rsid w:val="00C6728C"/>
    <w:rsid w:val="00C7148F"/>
    <w:rsid w:val="00C74596"/>
    <w:rsid w:val="00C74FF8"/>
    <w:rsid w:val="00C81BCE"/>
    <w:rsid w:val="00C8475C"/>
    <w:rsid w:val="00C924FA"/>
    <w:rsid w:val="00C967F6"/>
    <w:rsid w:val="00C9686C"/>
    <w:rsid w:val="00CA0A08"/>
    <w:rsid w:val="00CA6394"/>
    <w:rsid w:val="00CB10E9"/>
    <w:rsid w:val="00CB308B"/>
    <w:rsid w:val="00CB356A"/>
    <w:rsid w:val="00CB46F9"/>
    <w:rsid w:val="00CB649A"/>
    <w:rsid w:val="00CC1DA3"/>
    <w:rsid w:val="00CC57D6"/>
    <w:rsid w:val="00CC6EA3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06EFD"/>
    <w:rsid w:val="00D17D42"/>
    <w:rsid w:val="00D273F1"/>
    <w:rsid w:val="00D320D3"/>
    <w:rsid w:val="00D336F0"/>
    <w:rsid w:val="00D34238"/>
    <w:rsid w:val="00D34A58"/>
    <w:rsid w:val="00D36154"/>
    <w:rsid w:val="00D45B01"/>
    <w:rsid w:val="00D518C1"/>
    <w:rsid w:val="00D524F5"/>
    <w:rsid w:val="00D6282D"/>
    <w:rsid w:val="00D63D5A"/>
    <w:rsid w:val="00D67CAA"/>
    <w:rsid w:val="00D71597"/>
    <w:rsid w:val="00D7513F"/>
    <w:rsid w:val="00D768C3"/>
    <w:rsid w:val="00D80F4A"/>
    <w:rsid w:val="00D82E2E"/>
    <w:rsid w:val="00D84796"/>
    <w:rsid w:val="00D84A15"/>
    <w:rsid w:val="00D85D7E"/>
    <w:rsid w:val="00D907D0"/>
    <w:rsid w:val="00D96096"/>
    <w:rsid w:val="00DA19D4"/>
    <w:rsid w:val="00DA4D0B"/>
    <w:rsid w:val="00DA5448"/>
    <w:rsid w:val="00DA7968"/>
    <w:rsid w:val="00DB3087"/>
    <w:rsid w:val="00DB56F0"/>
    <w:rsid w:val="00DC08EC"/>
    <w:rsid w:val="00DD4260"/>
    <w:rsid w:val="00DD73CE"/>
    <w:rsid w:val="00DE2487"/>
    <w:rsid w:val="00DF36BC"/>
    <w:rsid w:val="00E000EF"/>
    <w:rsid w:val="00E02BF5"/>
    <w:rsid w:val="00E0507B"/>
    <w:rsid w:val="00E05DD0"/>
    <w:rsid w:val="00E07AC8"/>
    <w:rsid w:val="00E160D0"/>
    <w:rsid w:val="00E218C2"/>
    <w:rsid w:val="00E2480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4480"/>
    <w:rsid w:val="00E86767"/>
    <w:rsid w:val="00EA4861"/>
    <w:rsid w:val="00EA62FD"/>
    <w:rsid w:val="00EB2326"/>
    <w:rsid w:val="00EB2F4E"/>
    <w:rsid w:val="00EC21A3"/>
    <w:rsid w:val="00EC50B3"/>
    <w:rsid w:val="00EC7B9F"/>
    <w:rsid w:val="00ED26DB"/>
    <w:rsid w:val="00ED3138"/>
    <w:rsid w:val="00ED3670"/>
    <w:rsid w:val="00EF063E"/>
    <w:rsid w:val="00EF47F5"/>
    <w:rsid w:val="00EF5FFC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2AA3"/>
    <w:rsid w:val="00F53879"/>
    <w:rsid w:val="00F55005"/>
    <w:rsid w:val="00F61AE0"/>
    <w:rsid w:val="00F7673B"/>
    <w:rsid w:val="00F81A27"/>
    <w:rsid w:val="00F904E4"/>
    <w:rsid w:val="00F91F9D"/>
    <w:rsid w:val="00F96DE1"/>
    <w:rsid w:val="00FA0E5E"/>
    <w:rsid w:val="00FA2F3F"/>
    <w:rsid w:val="00FA54A4"/>
    <w:rsid w:val="00FB22C7"/>
    <w:rsid w:val="00FB5576"/>
    <w:rsid w:val="00FC139A"/>
    <w:rsid w:val="00FC55F6"/>
    <w:rsid w:val="00FD035E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0C4C-DD27-42B8-8DB9-34EFE8A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10872</Words>
  <Characters>61976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Danijela Plakalovic</cp:lastModifiedBy>
  <cp:revision>23</cp:revision>
  <cp:lastPrinted>2022-02-08T12:17:00Z</cp:lastPrinted>
  <dcterms:created xsi:type="dcterms:W3CDTF">2022-08-26T08:51:00Z</dcterms:created>
  <dcterms:modified xsi:type="dcterms:W3CDTF">2022-08-26T11:52:00Z</dcterms:modified>
</cp:coreProperties>
</file>